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E6" w:rsidRDefault="008132E6" w:rsidP="008132E6">
      <w:pPr>
        <w:pStyle w:val="xmsonormal"/>
        <w:framePr w:hSpace="180" w:wrap="around" w:vAnchor="text" w:hAnchor="text"/>
        <w:jc w:val="center"/>
        <w:rPr>
          <w:rFonts w:ascii="Calibri" w:hAnsi="Calibri" w:cs="Calibri"/>
          <w:color w:val="201F1E"/>
          <w:sz w:val="22"/>
          <w:szCs w:val="22"/>
        </w:rPr>
      </w:pPr>
      <w:r>
        <w:rPr>
          <w:b/>
          <w:bCs/>
          <w:color w:val="2E74B5"/>
          <w:bdr w:val="none" w:sz="0" w:space="0" w:color="auto" w:frame="1"/>
        </w:rPr>
        <w:t>THÔNG BÁO SỐ 09 VỀ CHÍNH SÁCH HỖ TRỢ VÀ HƯỚNG DẪN THỰC HIỆN CHO ĐẠI LÝ, ĐỐI TÁC GIAI ĐOẠN DỊCH BỆNH COVID-19 CỦA BAMBOO AIRWAYS</w:t>
      </w:r>
    </w:p>
    <w:p w:rsidR="008132E6" w:rsidRDefault="008132E6" w:rsidP="008132E6">
      <w:pPr>
        <w:pStyle w:val="xxmsonormal"/>
        <w:framePr w:hSpace="180" w:wrap="around" w:vAnchor="text" w:hAnchor="text"/>
        <w:shd w:val="clear" w:color="auto" w:fill="FFFFFF"/>
        <w:jc w:val="both"/>
        <w:rPr>
          <w:rFonts w:ascii="Calibri" w:hAnsi="Calibri" w:cs="Calibri"/>
          <w:color w:val="201F1E"/>
          <w:sz w:val="22"/>
          <w:szCs w:val="22"/>
        </w:rPr>
      </w:pPr>
      <w:r>
        <w:rPr>
          <w:b/>
          <w:bCs/>
          <w:color w:val="000000"/>
          <w:bdr w:val="none" w:sz="0" w:space="0" w:color="auto" w:frame="1"/>
        </w:rPr>
        <w:t> </w:t>
      </w:r>
    </w:p>
    <w:p w:rsidR="008132E6" w:rsidRDefault="008132E6" w:rsidP="008132E6">
      <w:pPr>
        <w:pStyle w:val="xmsonormal"/>
        <w:framePr w:hSpace="180" w:wrap="around" w:vAnchor="text" w:hAnchor="text"/>
        <w:spacing w:line="275" w:lineRule="atLeast"/>
        <w:rPr>
          <w:rFonts w:ascii="Calibri" w:hAnsi="Calibri" w:cs="Calibri"/>
          <w:color w:val="201F1E"/>
          <w:sz w:val="22"/>
          <w:szCs w:val="22"/>
        </w:rPr>
      </w:pPr>
      <w:r>
        <w:rPr>
          <w:color w:val="000000"/>
          <w:bdr w:val="none" w:sz="0" w:space="0" w:color="auto" w:frame="1"/>
          <w:lang w:val="nl-NL"/>
        </w:rPr>
        <w:t>Kính gửi:</w:t>
      </w:r>
      <w:r>
        <w:rPr>
          <w:b/>
          <w:bCs/>
          <w:i/>
          <w:iCs/>
          <w:color w:val="000000"/>
          <w:bdr w:val="none" w:sz="0" w:space="0" w:color="auto" w:frame="1"/>
          <w:lang w:val="nl-NL"/>
        </w:rPr>
        <w:t> Quý Đại lý,</w:t>
      </w:r>
    </w:p>
    <w:p w:rsidR="008132E6" w:rsidRDefault="008132E6" w:rsidP="008132E6">
      <w:pPr>
        <w:pStyle w:val="xmsonormal"/>
        <w:framePr w:hSpace="180" w:wrap="around" w:vAnchor="text" w:hAnchor="text"/>
        <w:spacing w:line="275" w:lineRule="atLeast"/>
        <w:rPr>
          <w:rFonts w:ascii="Calibri" w:hAnsi="Calibri" w:cs="Calibri"/>
          <w:color w:val="201F1E"/>
          <w:sz w:val="22"/>
          <w:szCs w:val="22"/>
        </w:rPr>
      </w:pPr>
      <w:r>
        <w:rPr>
          <w:color w:val="201F1E"/>
        </w:rPr>
        <w:t> </w:t>
      </w:r>
    </w:p>
    <w:p w:rsidR="008132E6" w:rsidRDefault="008132E6" w:rsidP="008132E6">
      <w:pPr>
        <w:pStyle w:val="xmsonormal"/>
        <w:framePr w:hSpace="180" w:wrap="around" w:vAnchor="text" w:hAnchor="text"/>
        <w:spacing w:line="264" w:lineRule="atLeast"/>
        <w:ind w:hanging="15"/>
        <w:jc w:val="both"/>
        <w:rPr>
          <w:rFonts w:ascii="Calibri" w:hAnsi="Calibri" w:cs="Calibri"/>
          <w:color w:val="201F1E"/>
          <w:sz w:val="22"/>
          <w:szCs w:val="22"/>
        </w:rPr>
      </w:pPr>
      <w:r>
        <w:rPr>
          <w:color w:val="000000"/>
          <w:lang w:val="nl-NL"/>
        </w:rPr>
        <w:t>Bamboo Airways (BAV) xin trân trọng gửi đến Qúy Đại lý Thông báo số 09 về phương án hỗ trợ hành khách trên các đường bay nội địa trong giai đoạn dịch Covid-19 với nội dung chi tiết như sau:</w:t>
      </w:r>
    </w:p>
    <w:p w:rsidR="008132E6" w:rsidRDefault="008132E6" w:rsidP="008132E6">
      <w:pPr>
        <w:pStyle w:val="xmsolistparagraph"/>
        <w:framePr w:hSpace="180" w:wrap="around" w:vAnchor="text" w:hAnchor="text"/>
        <w:ind w:left="360" w:hanging="360"/>
        <w:jc w:val="both"/>
        <w:rPr>
          <w:rFonts w:ascii="Calibri" w:hAnsi="Calibri" w:cs="Calibri"/>
          <w:color w:val="201F1E"/>
          <w:sz w:val="22"/>
          <w:szCs w:val="22"/>
        </w:rPr>
      </w:pPr>
      <w:r>
        <w:rPr>
          <w:b/>
          <w:bCs/>
          <w:color w:val="201F1E"/>
          <w:lang w:val="pt-BR"/>
        </w:rPr>
        <w:t>1.</w:t>
      </w:r>
      <w:r>
        <w:rPr>
          <w:b/>
          <w:bCs/>
          <w:color w:val="201F1E"/>
          <w:sz w:val="14"/>
          <w:szCs w:val="14"/>
          <w:lang w:val="pt-BR"/>
        </w:rPr>
        <w:t>      </w:t>
      </w:r>
      <w:r>
        <w:rPr>
          <w:b/>
          <w:bCs/>
          <w:color w:val="201F1E"/>
          <w:lang w:val="pt-BR"/>
        </w:rPr>
        <w:t>Phạm vi áp dụng</w:t>
      </w:r>
    </w:p>
    <w:p w:rsidR="008132E6" w:rsidRDefault="008132E6" w:rsidP="008132E6">
      <w:pPr>
        <w:pStyle w:val="xmsolistparagraph"/>
        <w:framePr w:hSpace="180" w:wrap="around" w:vAnchor="text" w:hAnchor="text"/>
        <w:jc w:val="both"/>
        <w:rPr>
          <w:rFonts w:ascii="Calibri" w:hAnsi="Calibri" w:cs="Calibri"/>
          <w:color w:val="201F1E"/>
          <w:sz w:val="22"/>
          <w:szCs w:val="22"/>
        </w:rPr>
      </w:pPr>
      <w:r>
        <w:rPr>
          <w:color w:val="201F1E"/>
          <w:lang w:val="pt-BR"/>
        </w:rPr>
        <w:t>   Áp dụng cho các đường bay nội địa Việt Nam</w:t>
      </w:r>
    </w:p>
    <w:p w:rsidR="008132E6" w:rsidRDefault="008132E6" w:rsidP="008132E6">
      <w:pPr>
        <w:pStyle w:val="xmsolistparagraph"/>
        <w:framePr w:hSpace="180" w:wrap="around" w:vAnchor="text" w:hAnchor="text"/>
        <w:ind w:left="360" w:hanging="360"/>
        <w:jc w:val="both"/>
        <w:rPr>
          <w:rFonts w:ascii="Calibri" w:hAnsi="Calibri" w:cs="Calibri"/>
          <w:color w:val="201F1E"/>
          <w:sz w:val="22"/>
          <w:szCs w:val="22"/>
        </w:rPr>
      </w:pPr>
      <w:r>
        <w:rPr>
          <w:b/>
          <w:bCs/>
          <w:color w:val="201F1E"/>
          <w:lang w:val="pt-BR"/>
        </w:rPr>
        <w:t>2.</w:t>
      </w:r>
      <w:r>
        <w:rPr>
          <w:b/>
          <w:bCs/>
          <w:color w:val="201F1E"/>
          <w:sz w:val="14"/>
          <w:szCs w:val="14"/>
          <w:lang w:val="pt-BR"/>
        </w:rPr>
        <w:t>      </w:t>
      </w:r>
      <w:r>
        <w:rPr>
          <w:b/>
          <w:bCs/>
          <w:color w:val="201F1E"/>
          <w:lang w:val="pt-BR"/>
        </w:rPr>
        <w:t>Nội dung</w:t>
      </w:r>
    </w:p>
    <w:p w:rsidR="008132E6" w:rsidRDefault="008132E6" w:rsidP="008132E6">
      <w:pPr>
        <w:pStyle w:val="xmsolistparagraph"/>
        <w:framePr w:hSpace="180" w:wrap="around" w:vAnchor="text" w:hAnchor="text"/>
        <w:spacing w:line="231" w:lineRule="atLeast"/>
        <w:ind w:left="345" w:hanging="360"/>
        <w:rPr>
          <w:rFonts w:ascii="Calibri" w:hAnsi="Calibri" w:cs="Calibri"/>
          <w:color w:val="201F1E"/>
          <w:sz w:val="22"/>
          <w:szCs w:val="22"/>
        </w:rPr>
      </w:pPr>
      <w:r>
        <w:rPr>
          <w:b/>
          <w:bCs/>
          <w:color w:val="201F1E"/>
          <w:lang w:val="pt-BR"/>
        </w:rPr>
        <w:t>a.</w:t>
      </w:r>
      <w:r>
        <w:rPr>
          <w:b/>
          <w:bCs/>
          <w:color w:val="201F1E"/>
          <w:sz w:val="14"/>
          <w:szCs w:val="14"/>
          <w:lang w:val="pt-BR"/>
        </w:rPr>
        <w:t>      </w:t>
      </w:r>
      <w:r>
        <w:rPr>
          <w:b/>
          <w:bCs/>
          <w:color w:val="201F1E"/>
          <w:lang w:val="pt-BR"/>
        </w:rPr>
        <w:t>Phương án đổi tên/hành trình/ngày giờ bay</w:t>
      </w:r>
    </w:p>
    <w:tbl>
      <w:tblPr>
        <w:tblW w:w="13040" w:type="dxa"/>
        <w:tblLook w:val="04A0" w:firstRow="1" w:lastRow="0" w:firstColumn="1" w:lastColumn="0" w:noHBand="0" w:noVBand="1"/>
      </w:tblPr>
      <w:tblGrid>
        <w:gridCol w:w="2269"/>
        <w:gridCol w:w="10771"/>
      </w:tblGrid>
      <w:tr w:rsidR="008132E6" w:rsidTr="008132E6">
        <w:trPr>
          <w:trHeight w:val="959"/>
        </w:trPr>
        <w:tc>
          <w:tcPr>
            <w:tcW w:w="2269" w:type="dxa"/>
            <w:tcBorders>
              <w:top w:val="single" w:sz="8" w:space="0" w:color="auto"/>
              <w:left w:val="single" w:sz="8" w:space="0" w:color="auto"/>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Phạm vi/hiệu lực áp dụng</w:t>
            </w:r>
          </w:p>
        </w:tc>
        <w:tc>
          <w:tcPr>
            <w:tcW w:w="10771" w:type="dxa"/>
            <w:tcBorders>
              <w:top w:val="single" w:sz="8" w:space="0" w:color="auto"/>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rPr>
                <w:rFonts w:ascii="Calibri" w:hAnsi="Calibri" w:cs="Calibri"/>
                <w:sz w:val="22"/>
                <w:szCs w:val="22"/>
              </w:rPr>
            </w:pPr>
            <w:r>
              <w:rPr>
                <w:color w:val="000000"/>
                <w:lang w:val="pt-BR"/>
              </w:rPr>
              <w:t>Áp dụng cho các vé nội địa, không phân biệt thời gian khởi hành, có thao tác thay đổi thực hiện từ </w:t>
            </w:r>
            <w:r>
              <w:rPr>
                <w:b/>
                <w:bCs/>
                <w:color w:val="FF0000"/>
                <w:lang w:val="pt-BR"/>
              </w:rPr>
              <w:t>00:00 ngày 01/09/2020 – 30/09/2020</w:t>
            </w:r>
            <w:r>
              <w:rPr>
                <w:color w:val="000000"/>
                <w:lang w:val="pt-BR"/>
              </w:rPr>
              <w:t>. Sau ngày 30/09/2020 áp dụng theo điều kiện vé thông thường</w:t>
            </w:r>
          </w:p>
        </w:tc>
      </w:tr>
      <w:tr w:rsidR="008132E6" w:rsidTr="008132E6">
        <w:trPr>
          <w:trHeight w:val="2654"/>
        </w:trPr>
        <w:tc>
          <w:tcPr>
            <w:tcW w:w="2269" w:type="dxa"/>
            <w:tcBorders>
              <w:top w:val="nil"/>
              <w:left w:val="single" w:sz="8" w:space="0" w:color="auto"/>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rPr>
              <w:t>Đổi tên</w:t>
            </w:r>
          </w:p>
        </w:tc>
        <w:tc>
          <w:tcPr>
            <w:tcW w:w="10771"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rPr>
                <w:rFonts w:ascii="Calibri" w:hAnsi="Calibri" w:cs="Calibri"/>
                <w:sz w:val="22"/>
                <w:szCs w:val="22"/>
              </w:rPr>
            </w:pPr>
            <w:r>
              <w:rPr>
                <w:color w:val="000000"/>
              </w:rPr>
              <w:t>- Bamboo Eco (V1, V2, V3, VP, P1 Eco, V4): Thu 150,000VND/khách/chặng</w:t>
            </w:r>
            <w:r>
              <w:rPr>
                <w:color w:val="000000"/>
              </w:rPr>
              <w:br/>
              <w:t>- Bamboo Plus (Y, W, S, B, H, K, L, M, N, Q, T, T1, O, O1, R, R1, P1 Plus): Thu 100,000VND/khách/chặng</w:t>
            </w:r>
            <w:r>
              <w:rPr>
                <w:color w:val="000000"/>
              </w:rPr>
              <w:br/>
              <w:t>- Bamboo Business (JC, J, C, JP, CP, D3): Miễn phí</w:t>
            </w:r>
            <w:r>
              <w:rPr>
                <w:color w:val="000000"/>
              </w:rPr>
              <w:br/>
              <w:t>- Khách đoàn (G, GS): Miễn phí</w:t>
            </w:r>
            <w:r>
              <w:rPr>
                <w:color w:val="000000"/>
              </w:rPr>
              <w:br/>
              <w:t>- Các hạng khác (D1, D2, D4, U1, U2, P2, GL, GA, GV, GC): áp dụng theo điều kiện thông thường.</w:t>
            </w:r>
            <w:r>
              <w:rPr>
                <w:color w:val="000000"/>
              </w:rPr>
              <w:br/>
              <w:t>- Thay đổi và thực hiện thanh toán phí thay đổi trước ít nhất 03 giờ so với giờ khởi hành đầu tiên trên vé, mức phí chưa bao gồm VAT.</w:t>
            </w:r>
            <w:r>
              <w:rPr>
                <w:color w:val="000000"/>
              </w:rPr>
              <w:br/>
              <w:t>- Thay đổi được set up tự động, không giới hạn lần, đại lý có thể tự thay đổi trên website B2B của đại lý; khách lẻ thay đổi thông qua Tổng đài, Phòng vé.</w:t>
            </w:r>
          </w:p>
        </w:tc>
      </w:tr>
      <w:tr w:rsidR="008132E6" w:rsidTr="008132E6">
        <w:trPr>
          <w:trHeight w:val="804"/>
        </w:trPr>
        <w:tc>
          <w:tcPr>
            <w:tcW w:w="2269" w:type="dxa"/>
            <w:tcBorders>
              <w:top w:val="nil"/>
              <w:left w:val="single" w:sz="8" w:space="0" w:color="auto"/>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rPr>
              <w:t>Các nội dung còn lại</w:t>
            </w:r>
          </w:p>
        </w:tc>
        <w:tc>
          <w:tcPr>
            <w:tcW w:w="10771"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rPr>
                <w:rFonts w:ascii="Calibri" w:hAnsi="Calibri" w:cs="Calibri"/>
                <w:sz w:val="22"/>
                <w:szCs w:val="22"/>
              </w:rPr>
            </w:pPr>
            <w:r>
              <w:rPr>
                <w:color w:val="000000"/>
              </w:rPr>
              <w:t>Áp dụng theo chính sách thông thường</w:t>
            </w:r>
          </w:p>
        </w:tc>
      </w:tr>
    </w:tbl>
    <w:p w:rsidR="008132E6" w:rsidRDefault="008132E6" w:rsidP="008132E6">
      <w:pPr>
        <w:pStyle w:val="xmsonormal"/>
        <w:framePr w:hSpace="180" w:wrap="around" w:vAnchor="text" w:hAnchor="text"/>
        <w:ind w:hanging="180"/>
        <w:jc w:val="both"/>
        <w:rPr>
          <w:rFonts w:ascii="Calibri" w:hAnsi="Calibri" w:cs="Calibri"/>
          <w:color w:val="201F1E"/>
          <w:sz w:val="22"/>
          <w:szCs w:val="22"/>
        </w:rPr>
      </w:pPr>
      <w:r>
        <w:rPr>
          <w:color w:val="201F1E"/>
          <w:lang w:val="pt-BR"/>
        </w:rPr>
        <w:t> </w:t>
      </w:r>
    </w:p>
    <w:p w:rsidR="008132E6" w:rsidRDefault="008132E6" w:rsidP="008132E6">
      <w:pPr>
        <w:pStyle w:val="xmsolistparagraph"/>
        <w:framePr w:hSpace="180" w:wrap="around" w:vAnchor="text" w:hAnchor="text"/>
        <w:spacing w:line="231" w:lineRule="atLeast"/>
        <w:ind w:left="345" w:hanging="345"/>
        <w:rPr>
          <w:rFonts w:ascii="Calibri" w:hAnsi="Calibri" w:cs="Calibri"/>
          <w:color w:val="201F1E"/>
          <w:sz w:val="22"/>
          <w:szCs w:val="22"/>
        </w:rPr>
      </w:pPr>
      <w:r>
        <w:rPr>
          <w:b/>
          <w:bCs/>
          <w:color w:val="201F1E"/>
          <w:lang w:val="pt-BR"/>
        </w:rPr>
        <w:t>b.</w:t>
      </w:r>
      <w:r>
        <w:rPr>
          <w:b/>
          <w:bCs/>
          <w:color w:val="201F1E"/>
          <w:sz w:val="14"/>
          <w:szCs w:val="14"/>
          <w:lang w:val="pt-BR"/>
        </w:rPr>
        <w:t>     </w:t>
      </w:r>
      <w:r>
        <w:rPr>
          <w:b/>
          <w:bCs/>
          <w:color w:val="201F1E"/>
          <w:lang w:val="pt-BR"/>
        </w:rPr>
        <w:t>Phương án bảo lưu, hoàn vé</w:t>
      </w:r>
    </w:p>
    <w:p w:rsidR="008132E6" w:rsidRDefault="008132E6" w:rsidP="008132E6">
      <w:pPr>
        <w:pStyle w:val="xmsonormal"/>
        <w:framePr w:hSpace="180" w:wrap="around" w:vAnchor="text" w:hAnchor="text"/>
        <w:ind w:left="165" w:hanging="180"/>
        <w:jc w:val="both"/>
        <w:rPr>
          <w:rFonts w:ascii="Calibri" w:hAnsi="Calibri" w:cs="Calibri"/>
          <w:color w:val="201F1E"/>
          <w:sz w:val="22"/>
          <w:szCs w:val="22"/>
        </w:rPr>
      </w:pPr>
      <w:r>
        <w:rPr>
          <w:color w:val="201F1E"/>
          <w:lang w:val="pt-BR"/>
        </w:rPr>
        <w:t>Hiệu lực áp dụng: Áp dụng cho các chuyến bay nội địa khởi hành trong giai đoạn từ 04/09/2020 – 24/10/2020 trong đó các yêu cầu hoàn hủy tiếp nhận từ 00:00 ngày 04/09/2020</w:t>
      </w:r>
    </w:p>
    <w:tbl>
      <w:tblPr>
        <w:tblW w:w="13040" w:type="dxa"/>
        <w:tblLook w:val="04A0" w:firstRow="1" w:lastRow="0" w:firstColumn="1" w:lastColumn="0" w:noHBand="0" w:noVBand="1"/>
      </w:tblPr>
      <w:tblGrid>
        <w:gridCol w:w="2196"/>
        <w:gridCol w:w="3554"/>
        <w:gridCol w:w="1080"/>
        <w:gridCol w:w="1890"/>
        <w:gridCol w:w="1260"/>
        <w:gridCol w:w="3060"/>
      </w:tblGrid>
      <w:tr w:rsidR="008132E6" w:rsidTr="008132E6">
        <w:trPr>
          <w:trHeight w:val="305"/>
        </w:trPr>
        <w:tc>
          <w:tcPr>
            <w:tcW w:w="2196" w:type="dxa"/>
            <w:vMerge w:val="restart"/>
            <w:tcBorders>
              <w:top w:val="single" w:sz="8" w:space="0" w:color="auto"/>
              <w:left w:val="single" w:sz="8" w:space="0" w:color="auto"/>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Phương án</w:t>
            </w:r>
          </w:p>
        </w:tc>
        <w:tc>
          <w:tcPr>
            <w:tcW w:w="4634" w:type="dxa"/>
            <w:gridSpan w:val="2"/>
            <w:tcBorders>
              <w:top w:val="single" w:sz="8" w:space="0" w:color="auto"/>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Chuyến bay sớm</w:t>
            </w:r>
          </w:p>
        </w:tc>
        <w:tc>
          <w:tcPr>
            <w:tcW w:w="3150" w:type="dxa"/>
            <w:gridSpan w:val="2"/>
            <w:tcBorders>
              <w:top w:val="single" w:sz="8" w:space="0" w:color="auto"/>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Chuyến bay chậm</w:t>
            </w:r>
          </w:p>
        </w:tc>
        <w:tc>
          <w:tcPr>
            <w:tcW w:w="3060" w:type="dxa"/>
            <w:vMerge w:val="restart"/>
            <w:tcBorders>
              <w:top w:val="single" w:sz="8" w:space="0" w:color="auto"/>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Chuyến bay bị hủy và chuyến bay thay thế có giờ khởi hành sớm/muộn hơn giờ khởi hành cũ từ 4 tiếng trở lên</w:t>
            </w:r>
          </w:p>
        </w:tc>
      </w:tr>
      <w:tr w:rsidR="008132E6" w:rsidTr="008132E6">
        <w:trPr>
          <w:trHeight w:val="13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32E6" w:rsidRDefault="008132E6">
            <w:pPr>
              <w:framePr w:hSpace="180" w:wrap="around" w:vAnchor="text" w:hAnchor="text"/>
              <w:rPr>
                <w:rFonts w:ascii="Calibri" w:hAnsi="Calibri" w:cs="Calibri"/>
                <w:sz w:val="22"/>
                <w:szCs w:val="22"/>
              </w:rPr>
            </w:pPr>
          </w:p>
        </w:tc>
        <w:tc>
          <w:tcPr>
            <w:tcW w:w="3554"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&lt; 2h</w:t>
            </w:r>
          </w:p>
        </w:tc>
        <w:tc>
          <w:tcPr>
            <w:tcW w:w="108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 2h</w:t>
            </w:r>
          </w:p>
        </w:tc>
        <w:tc>
          <w:tcPr>
            <w:tcW w:w="189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&lt; 4h</w:t>
            </w:r>
          </w:p>
        </w:tc>
        <w:tc>
          <w:tcPr>
            <w:tcW w:w="126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 4h</w:t>
            </w:r>
            <w:bookmarkStart w:id="0" w:name="_GoBack"/>
            <w:bookmarkEnd w:id="0"/>
          </w:p>
        </w:tc>
        <w:tc>
          <w:tcPr>
            <w:tcW w:w="3060" w:type="dxa"/>
            <w:vMerge/>
            <w:tcBorders>
              <w:top w:val="single" w:sz="8" w:space="0" w:color="auto"/>
              <w:left w:val="nil"/>
              <w:bottom w:val="single" w:sz="8" w:space="0" w:color="auto"/>
              <w:right w:val="single" w:sz="8" w:space="0" w:color="auto"/>
            </w:tcBorders>
            <w:vAlign w:val="center"/>
            <w:hideMark/>
          </w:tcPr>
          <w:p w:rsidR="008132E6" w:rsidRDefault="008132E6">
            <w:pPr>
              <w:framePr w:hSpace="180" w:wrap="around" w:vAnchor="text" w:hAnchor="text"/>
              <w:rPr>
                <w:rFonts w:ascii="Calibri" w:hAnsi="Calibri" w:cs="Calibri"/>
                <w:sz w:val="22"/>
                <w:szCs w:val="22"/>
              </w:rPr>
            </w:pPr>
          </w:p>
        </w:tc>
      </w:tr>
      <w:tr w:rsidR="008132E6" w:rsidTr="008132E6">
        <w:trPr>
          <w:trHeight w:val="1834"/>
        </w:trPr>
        <w:tc>
          <w:tcPr>
            <w:tcW w:w="2196" w:type="dxa"/>
            <w:tcBorders>
              <w:top w:val="nil"/>
              <w:left w:val="single" w:sz="8" w:space="0" w:color="auto"/>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Cho chặng bay bị ảnh hưởng</w:t>
            </w:r>
          </w:p>
        </w:tc>
        <w:tc>
          <w:tcPr>
            <w:tcW w:w="3554"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Chỉ áp dụng với hành khách có mặt tại sân bay thời điểm từ 02h trước giờ khởi hành cho đến giờ khởi hành</w:t>
            </w:r>
          </w:p>
        </w:tc>
        <w:tc>
          <w:tcPr>
            <w:tcW w:w="108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rPr>
              <w:t>Áp dụng</w:t>
            </w:r>
          </w:p>
        </w:tc>
        <w:tc>
          <w:tcPr>
            <w:tcW w:w="189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Không áp dụng</w:t>
            </w:r>
          </w:p>
        </w:tc>
        <w:tc>
          <w:tcPr>
            <w:tcW w:w="126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Áp dụng</w:t>
            </w:r>
          </w:p>
        </w:tc>
        <w:tc>
          <w:tcPr>
            <w:tcW w:w="306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Áp dụng</w:t>
            </w:r>
          </w:p>
        </w:tc>
      </w:tr>
      <w:tr w:rsidR="008132E6" w:rsidTr="008132E6">
        <w:trPr>
          <w:trHeight w:val="917"/>
        </w:trPr>
        <w:tc>
          <w:tcPr>
            <w:tcW w:w="2196" w:type="dxa"/>
            <w:tcBorders>
              <w:top w:val="nil"/>
              <w:left w:val="single" w:sz="8" w:space="0" w:color="auto"/>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Cho chặng khác trong cùng mã đặt chỗ</w:t>
            </w:r>
          </w:p>
        </w:tc>
        <w:tc>
          <w:tcPr>
            <w:tcW w:w="3554"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Không áp dụng</w:t>
            </w:r>
          </w:p>
        </w:tc>
        <w:tc>
          <w:tcPr>
            <w:tcW w:w="108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Áp dụng</w:t>
            </w:r>
          </w:p>
        </w:tc>
        <w:tc>
          <w:tcPr>
            <w:tcW w:w="189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Không áp dụng</w:t>
            </w:r>
          </w:p>
        </w:tc>
        <w:tc>
          <w:tcPr>
            <w:tcW w:w="126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Áp dụng</w:t>
            </w:r>
          </w:p>
        </w:tc>
        <w:tc>
          <w:tcPr>
            <w:tcW w:w="306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Áp dụng</w:t>
            </w:r>
          </w:p>
        </w:tc>
      </w:tr>
      <w:tr w:rsidR="008132E6" w:rsidTr="008132E6">
        <w:trPr>
          <w:trHeight w:val="2140"/>
        </w:trPr>
        <w:tc>
          <w:tcPr>
            <w:tcW w:w="2196" w:type="dxa"/>
            <w:tcBorders>
              <w:top w:val="nil"/>
              <w:left w:val="single" w:sz="8" w:space="0" w:color="auto"/>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Cho chặng liền kề khác PNR khởi hành trong vòng 72h so với giờ khởi hành của chuyến bay bị ảnh hưởng</w:t>
            </w:r>
          </w:p>
        </w:tc>
        <w:tc>
          <w:tcPr>
            <w:tcW w:w="3554"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Không áp dụng</w:t>
            </w:r>
          </w:p>
        </w:tc>
        <w:tc>
          <w:tcPr>
            <w:tcW w:w="108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Áp dụng</w:t>
            </w:r>
          </w:p>
        </w:tc>
        <w:tc>
          <w:tcPr>
            <w:tcW w:w="189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Không áp dụng</w:t>
            </w:r>
          </w:p>
        </w:tc>
        <w:tc>
          <w:tcPr>
            <w:tcW w:w="126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Áp dụng</w:t>
            </w:r>
          </w:p>
        </w:tc>
        <w:tc>
          <w:tcPr>
            <w:tcW w:w="3060" w:type="dxa"/>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Áp dụng</w:t>
            </w:r>
          </w:p>
        </w:tc>
      </w:tr>
      <w:tr w:rsidR="008132E6" w:rsidTr="008132E6">
        <w:trPr>
          <w:trHeight w:val="1457"/>
        </w:trPr>
        <w:tc>
          <w:tcPr>
            <w:tcW w:w="2196" w:type="dxa"/>
            <w:tcBorders>
              <w:top w:val="nil"/>
              <w:left w:val="single" w:sz="8" w:space="0" w:color="auto"/>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b/>
                <w:bCs/>
                <w:color w:val="000000"/>
                <w:lang w:val="pt-BR"/>
              </w:rPr>
              <w:t>Cho chặng liền kề khác PNR khởi hành ngoài 72h so với giờ khởi hành của chuyến bay bị ảnh hưởng</w:t>
            </w:r>
          </w:p>
        </w:tc>
        <w:tc>
          <w:tcPr>
            <w:tcW w:w="10844" w:type="dxa"/>
            <w:gridSpan w:val="5"/>
            <w:tcBorders>
              <w:top w:val="nil"/>
              <w:left w:val="nil"/>
              <w:bottom w:val="single" w:sz="8" w:space="0" w:color="auto"/>
              <w:right w:val="single" w:sz="8" w:space="0" w:color="auto"/>
            </w:tcBorders>
            <w:vAlign w:val="center"/>
            <w:hideMark/>
          </w:tcPr>
          <w:p w:rsidR="008132E6" w:rsidRDefault="008132E6">
            <w:pPr>
              <w:pStyle w:val="xmsonormal"/>
              <w:framePr w:hSpace="180" w:wrap="around" w:vAnchor="text" w:hAnchor="text"/>
              <w:spacing w:line="233" w:lineRule="atLeast"/>
              <w:jc w:val="center"/>
              <w:rPr>
                <w:rFonts w:ascii="Calibri" w:hAnsi="Calibri" w:cs="Calibri"/>
                <w:sz w:val="22"/>
                <w:szCs w:val="22"/>
              </w:rPr>
            </w:pPr>
            <w:r>
              <w:rPr>
                <w:color w:val="000000"/>
                <w:lang w:val="pt-BR"/>
              </w:rPr>
              <w:t>Không áp dụng</w:t>
            </w:r>
          </w:p>
        </w:tc>
      </w:tr>
    </w:tbl>
    <w:p w:rsidR="008132E6" w:rsidRDefault="008132E6" w:rsidP="008132E6">
      <w:pPr>
        <w:pStyle w:val="xmsonormal"/>
        <w:framePr w:hSpace="180" w:wrap="around" w:vAnchor="text" w:hAnchor="text"/>
        <w:jc w:val="both"/>
        <w:rPr>
          <w:rFonts w:ascii="Calibri" w:hAnsi="Calibri" w:cs="Calibri"/>
          <w:color w:val="201F1E"/>
          <w:sz w:val="22"/>
          <w:szCs w:val="22"/>
        </w:rPr>
      </w:pPr>
      <w:r>
        <w:rPr>
          <w:b/>
          <w:bCs/>
          <w:color w:val="201F1E"/>
        </w:rPr>
        <w:t> </w:t>
      </w:r>
    </w:p>
    <w:p w:rsidR="008132E6" w:rsidRDefault="008132E6" w:rsidP="008132E6">
      <w:pPr>
        <w:pStyle w:val="xmsonormal"/>
        <w:framePr w:hSpace="180" w:wrap="around" w:vAnchor="text" w:hAnchor="text"/>
        <w:rPr>
          <w:rFonts w:ascii="Calibri" w:hAnsi="Calibri" w:cs="Calibri"/>
          <w:color w:val="201F1E"/>
          <w:sz w:val="22"/>
          <w:szCs w:val="22"/>
        </w:rPr>
      </w:pPr>
      <w:r>
        <w:rPr>
          <w:color w:val="201F1E"/>
          <w:lang w:val="pt-BR"/>
        </w:rPr>
        <w:t>Mọi thắc mắc về chính sách trên, </w:t>
      </w:r>
      <w:r>
        <w:rPr>
          <w:color w:val="000000"/>
          <w:lang w:val="pt-BR"/>
        </w:rPr>
        <w:t>Quý Đại lý vui lòng liên hệ Tổng đài </w:t>
      </w:r>
      <w:r>
        <w:rPr>
          <w:b/>
          <w:bCs/>
          <w:color w:val="FF0000"/>
          <w:sz w:val="36"/>
          <w:szCs w:val="36"/>
          <w:lang w:val="pt-BR"/>
        </w:rPr>
        <w:t>19001166</w:t>
      </w:r>
      <w:r>
        <w:rPr>
          <w:color w:val="FF0000"/>
          <w:lang w:val="pt-BR"/>
        </w:rPr>
        <w:t> </w:t>
      </w:r>
      <w:r>
        <w:rPr>
          <w:color w:val="000000"/>
          <w:lang w:val="pt-BR"/>
        </w:rPr>
        <w:t>và Chuyên viên Phụ trách Đại lý để được hỗ trợ.</w:t>
      </w:r>
    </w:p>
    <w:p w:rsidR="008132E6" w:rsidRDefault="008132E6" w:rsidP="008132E6">
      <w:pPr>
        <w:pStyle w:val="xmsolistparagraph"/>
        <w:framePr w:hSpace="180" w:wrap="around" w:vAnchor="text" w:hAnchor="text"/>
        <w:spacing w:line="231" w:lineRule="atLeast"/>
        <w:rPr>
          <w:rFonts w:ascii="Calibri" w:hAnsi="Calibri" w:cs="Calibri"/>
          <w:color w:val="201F1E"/>
          <w:sz w:val="22"/>
          <w:szCs w:val="22"/>
        </w:rPr>
      </w:pPr>
      <w:r>
        <w:rPr>
          <w:color w:val="000000"/>
          <w:lang w:val="pt-BR"/>
        </w:rPr>
        <w:t>Chúng tôi rất mong nhận được sự ủng hộ và hợp tác của Quý Đại lý.</w:t>
      </w:r>
    </w:p>
    <w:p w:rsidR="001E2A82" w:rsidRDefault="008132E6" w:rsidP="008132E6">
      <w:r>
        <w:rPr>
          <w:b/>
          <w:bCs/>
          <w:i/>
          <w:iCs/>
          <w:color w:val="201F1E"/>
          <w:bdr w:val="none" w:sz="0" w:space="0" w:color="auto" w:frame="1"/>
          <w:lang w:val="pt-BR"/>
        </w:rPr>
        <w:lastRenderedPageBreak/>
        <w:t>Trân trọng thông báo và cảm ơn!</w:t>
      </w:r>
    </w:p>
    <w:sectPr w:rsidR="001E2A82" w:rsidSect="008132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E6"/>
    <w:rsid w:val="001E2A82"/>
    <w:rsid w:val="0081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2F2C-D25F-49B1-AB52-A28C8A2F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2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8132E6"/>
  </w:style>
  <w:style w:type="paragraph" w:customStyle="1" w:styleId="xmsonormal">
    <w:name w:val="x_msonormal"/>
    <w:basedOn w:val="Normal"/>
    <w:rsid w:val="008132E6"/>
  </w:style>
  <w:style w:type="paragraph" w:customStyle="1" w:styleId="xmsolistparagraph">
    <w:name w:val="x_msolistparagraph"/>
    <w:basedOn w:val="Normal"/>
    <w:rsid w:val="0081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2020-09-04T09:24:00Z</dcterms:created>
  <dcterms:modified xsi:type="dcterms:W3CDTF">2020-09-04T09:25:00Z</dcterms:modified>
</cp:coreProperties>
</file>